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26.000000000002" w:type="dxa"/>
        <w:jc w:val="left"/>
        <w:tblBorders>
          <w:top w:color="000000" w:space="0" w:sz="2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07"/>
        <w:gridCol w:w="5377"/>
        <w:gridCol w:w="1512"/>
        <w:gridCol w:w="1330"/>
        <w:tblGridChange w:id="0">
          <w:tblGrid>
            <w:gridCol w:w="1707"/>
            <w:gridCol w:w="5377"/>
            <w:gridCol w:w="1512"/>
            <w:gridCol w:w="1330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02">
            <w:pPr>
              <w:spacing w:before="12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32"/>
                <w:szCs w:val="3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48"/>
                <w:szCs w:val="48"/>
                <w:rtl w:val="0"/>
              </w:rPr>
              <w:t xml:space="preserve">Cleveland City Board of Education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Monitoring: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18"/>
                <w:szCs w:val="18"/>
                <w:rtl w:val="0"/>
              </w:rPr>
              <w:t xml:space="preserve">Review: Annually, in April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8">
            <w:pPr>
              <w:spacing w:before="12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Term:</w:t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Emergency Allergy Response Plan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Descriptor Code: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6.412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 Date: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Rescinds: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6412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before="6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Issued: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color w:val="80808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lxdjbaonidge" w:id="0"/>
    <w:bookmarkEnd w:id="0"/>
    <w:p w:rsidR="00000000" w:rsidDel="00000000" w:rsidP="00000000" w:rsidRDefault="00000000" w:rsidRPr="00000000" w14:paraId="00000014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The Director of Schools shall develop and maintain an Emergency Allergy Response Plan that meets state guidelines for managing students with life-threatening allergies. The Plan shall include measures to reduce exposure to allergens and procedures to treat allergic reactions. Components of the plan shall include, but are not limited to; education and training of personnel, record keeping/documentation, development and reviews of the allergy action plan, and protocols for classrooms and cafeterias that include strategies to reduce exposure to allergens.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spacing w:after="0" w:before="24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Using the state food allergy guidelines plan as a guide, the </w:t>
      </w:r>
      <w:r w:rsidDel="00000000" w:rsidR="00000000" w:rsidRPr="00000000">
        <w:rPr>
          <w:rFonts w:ascii="Times New Roman" w:cs="Times New Roman" w:eastAsia="Times New Roman" w:hAnsi="Times New Roman"/>
          <w:strike w:val="1"/>
          <w:sz w:val="24"/>
          <w:szCs w:val="24"/>
          <w:rtl w:val="0"/>
        </w:rPr>
        <w:t xml:space="preserve">Director</w:t>
      </w:r>
      <w:r w:rsidDel="00000000" w:rsidR="00000000" w:rsidRPr="00000000">
        <w:rPr>
          <w:rFonts w:ascii="Times New Roman" w:cs="Times New Roman" w:eastAsia="Times New Roman" w:hAnsi="Times New Roman"/>
          <w:color w:val="ee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Director of Schools</w:t>
      </w:r>
      <w:r w:rsidDel="00000000" w:rsidR="00000000" w:rsidRPr="00000000">
        <w:rPr>
          <w:rFonts w:ascii="Times New Roman" w:cs="Times New Roman" w:eastAsia="Times New Roman" w:hAnsi="Times New Roman"/>
          <w:color w:val="0070c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shall also develop a process to identify all students with food allergies and develop and implement an Individualized Health Care Plan (IHCP) with an allergy action plan for each speciﬁc student.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4"/>
          <w:szCs w:val="24"/>
          <w:rtl w:val="0"/>
        </w:rPr>
        <w:t xml:space="preserve">EPINEPHRINE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7">
      <w:pPr>
        <w:spacing w:after="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Each school shall maintain epinephrine, either as auto-injectors, nasal sprays, or other forms, in at least two (2) unlocked, secure locations including, but not limited to, the school office and the school cafeteria.</w:t>
      </w:r>
    </w:p>
    <w:p w:rsidR="00000000" w:rsidDel="00000000" w:rsidP="00000000" w:rsidRDefault="00000000" w:rsidRPr="00000000" w14:paraId="00000018">
      <w:pPr>
        <w:spacing w:after="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In the event of such a reaction, the school nurse or other trained school personnel shall utilize epinephrine to respond, under a standing protocol from a physician.</w:t>
      </w:r>
    </w:p>
    <w:p w:rsidR="00000000" w:rsidDel="00000000" w:rsidP="00000000" w:rsidRDefault="00000000" w:rsidRPr="00000000" w14:paraId="00000019">
      <w:pPr>
        <w:spacing w:after="1080" w:before="240" w:line="240" w:lineRule="auto"/>
        <w:rPr>
          <w:rFonts w:ascii="Times New Roman" w:cs="Times New Roman" w:eastAsia="Times New Roman" w:hAnsi="Times New Roman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The Director of Schools/designee is authorized to seek epinephrine through a prescription written to Cleveland City Schools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4"/>
          <w:szCs w:val="24"/>
          <w:rtl w:val="0"/>
        </w:rPr>
        <w:t xml:space="preserve">. Upon the issuance of the auto-injectors, the Director of Schools shall ensure that they are placed within each school and that any needed trainings are conducted for staff.</w:t>
      </w:r>
    </w:p>
    <w:p w:rsidR="00000000" w:rsidDel="00000000" w:rsidP="00000000" w:rsidRDefault="00000000" w:rsidRPr="00000000" w14:paraId="0000001A">
      <w:pPr>
        <w:spacing w:after="0" w:before="240" w:line="240" w:lineRule="auto"/>
        <w:rPr>
          <w:rFonts w:ascii="Times" w:cs="Times" w:eastAsia="Times" w:hAnsi="Times"/>
          <w:color w:val="000000"/>
          <w:sz w:val="24"/>
          <w:szCs w:val="24"/>
        </w:rPr>
        <w:sectPr>
          <w:headerReference r:id="rId7" w:type="default"/>
          <w:footerReference r:id="rId8" w:type="default"/>
          <w:footerReference r:id="rId9" w:type="first"/>
          <w:pgSz w:h="15840" w:w="12240" w:orient="portrait"/>
          <w:pgMar w:bottom="1440" w:top="1440" w:left="1152" w:right="1152" w:header="720" w:footer="720"/>
          <w:lnNumType w:countBy="1" w:start="0" w:restart="newPage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58.0" w:type="dxa"/>
        <w:jc w:val="left"/>
        <w:tblInd w:w="37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5095"/>
        <w:gridCol w:w="4463"/>
        <w:tblGridChange w:id="0">
          <w:tblGrid>
            <w:gridCol w:w="5095"/>
            <w:gridCol w:w="4463"/>
          </w:tblGrid>
        </w:tblGridChange>
      </w:tblGrid>
      <w:tr>
        <w:trPr>
          <w:cantSplit w:val="0"/>
          <w:trHeight w:val="21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before="120" w:lineRule="auto"/>
              <w:ind w:right="720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Legal References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before="12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Cross References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76" w:lineRule="auto"/>
              <w:ind w:left="360" w:right="720" w:hanging="36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Times" w:cs="Times" w:eastAsia="Times" w:hAnsi="Times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TCA 49-50-1602(f)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720" w:hanging="36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" w:cs="Times" w:eastAsia="Times" w:hAnsi="Times"/>
                  <w:b w:val="0"/>
                  <w:bCs w:val="0"/>
                  <w:i w:val="1"/>
                  <w:iCs w:val="1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Guidelines for Use of Health Care Professionals and Health Care Procedures in a School Setting</w:t>
              </w:r>
            </w:hyperlink>
            <w:hyperlink r:id="rId12">
              <w:r w:rsidDel="00000000" w:rsidR="00000000" w:rsidRPr="00000000">
                <w:rPr>
                  <w:rFonts w:ascii="Times" w:cs="Times" w:eastAsia="Times" w:hAnsi="Times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 (Tennessee Department  of Education and Tennessee Department of Health, 2023, pg. 90)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360" w:right="72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18"/>
                  <w:szCs w:val="18"/>
                  <w:u w:val="single"/>
                  <w:shd w:fill="auto" w:val="clear"/>
                  <w:vertAlign w:val="baseline"/>
                  <w:rtl w:val="0"/>
                </w:rPr>
                <w:t xml:space="preserve">Public Acts of 2026, Chapter No. 947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before="240" w:lineRule="auto"/>
              <w:rPr>
                <w:rFonts w:ascii="Times" w:cs="Times" w:eastAsia="Times" w:hAnsi="Times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Times" w:cs="Times" w:eastAsia="Times" w:hAnsi="Times"/>
                <w:color w:val="000000"/>
                <w:sz w:val="18"/>
                <w:szCs w:val="18"/>
                <w:rtl w:val="0"/>
              </w:rPr>
              <w:t xml:space="preserve">Medicines 6.405</w:t>
            </w:r>
          </w:p>
        </w:tc>
      </w:tr>
    </w:tbl>
    <w:p w:rsidR="00000000" w:rsidDel="00000000" w:rsidP="00000000" w:rsidRDefault="00000000" w:rsidRPr="00000000" w14:paraId="00000024">
      <w:pPr>
        <w:spacing w:after="0" w:before="240" w:line="240" w:lineRule="auto"/>
        <w:rPr>
          <w:rFonts w:ascii="Times" w:cs="Times" w:eastAsia="Times" w:hAnsi="Times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152" w:right="1152" w:header="720" w:footer="720"/>
      <w:lnNumType w:countBy="1" w:start="0" w:restart="newPage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  <w:font w:name="Time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19415" y="3780000"/>
                        <a:ext cx="6653170" cy="0"/>
                      </a:xfrm>
                      <a:prstGeom prst="straightConnector1">
                        <a:avLst/>
                      </a:prstGeom>
                      <a:noFill/>
                      <a:ln cap="flat" cmpd="sng" w="19050">
                        <a:solidFill>
                          <a:schemeClr val="dk1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-131017</wp:posOffset>
              </wp:positionH>
              <wp:positionV relativeFrom="paragraph">
                <wp:posOffset>74030</wp:posOffset>
              </wp:positionV>
              <wp:extent cx="6653170" cy="1905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53170" cy="190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  <w:tab w:val="left" w:leader="none" w:pos="1365"/>
      </w:tabs>
      <w:spacing w:after="0" w:before="6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  <w:tab/>
      <w:tab/>
      <w:tab/>
      <w:tab/>
      <w:tab/>
      <w:tab/>
      <w:tab/>
      <w:tab/>
      <w:tab/>
      <w:t xml:space="preserve">Version Date: July 8, 2026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&lt;Policy Title&gt;</w:t>
      <w:tab/>
      <w:tab/>
      <w:t xml:space="preserve">&lt;Descriptor Code&gt;</w:t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054211" y="3780000"/>
                        <a:ext cx="6583578" cy="0"/>
                      </a:xfrm>
                      <a:prstGeom prst="straightConnector1">
                        <a:avLst/>
                      </a:prstGeom>
                      <a:noFill/>
                      <a:ln cap="flat" cmpd="sng" w="28575">
                        <a:solidFill>
                          <a:srgbClr val="0C0C0C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-117042</wp:posOffset>
              </wp:positionH>
              <wp:positionV relativeFrom="paragraph">
                <wp:posOffset>-3110</wp:posOffset>
              </wp:positionV>
              <wp:extent cx="6583578" cy="2857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583578" cy="285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tn.gov/content/dam/tn/education/csh/Guidelines_for_Health_Care_in_School_Setting.pdf" TargetMode="External"/><Relationship Id="rId10" Type="http://schemas.openxmlformats.org/officeDocument/2006/relationships/hyperlink" Target="https://legal.tsba.net/state-statutes/t-c-a-%C2%A7-49-50-1602-assistance-in-self-administration-of-medications-administration-of-glucagons-and-anti-seizure-medications-by-volunteers-possession-and-self-administration" TargetMode="External"/><Relationship Id="rId13" Type="http://schemas.openxmlformats.org/officeDocument/2006/relationships/hyperlink" Target="https://publications.tnsosfiles.com/acts/114/pub/pc0947.pdf" TargetMode="External"/><Relationship Id="rId12" Type="http://schemas.openxmlformats.org/officeDocument/2006/relationships/hyperlink" Target="https://www.tn.gov/content/dam/tn/education/csh/Guidelines_for_Health_Care_in_School_Setting.pdf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4FDFZCH6bIT8eeGvuY5RCfWMsw==">CgMxLjAyD2lkLmx4ZGpiYW9uaWRnZTgAciExeDVoTzdKNkRBVW1TYm5HTExjSGpLUXFZUGJMUndMXzM=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ardTitle">
    <vt:lpwstr>Cumberland Board</vt:lpwstr>
  </property>
</Properties>
</file>